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E3" w:rsidRPr="00D12B97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БУЙРУК 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407  31.05.2018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-ж.</w:t>
      </w:r>
    </w:p>
    <w:p w:rsidR="007119E3" w:rsidRDefault="007119E3" w:rsidP="00711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9E3" w:rsidRPr="00764D44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Дипломдон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кийинки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даярдык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программасын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аткаруу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үчүн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19E3" w:rsidRPr="00764D44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медициналык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билим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берүүчү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мекемелердин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клиникалык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базасы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жөнүндө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Жобо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менен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стационардык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баскычтагы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саламаттык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сактоо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уюмдарынын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Категорияларын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бекитүү</w:t>
      </w:r>
      <w:proofErr w:type="spellEnd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>жөнүндө</w:t>
      </w:r>
      <w:proofErr w:type="spellEnd"/>
    </w:p>
    <w:p w:rsidR="007119E3" w:rsidRPr="00764D44" w:rsidRDefault="007119E3" w:rsidP="00711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9E3" w:rsidRPr="009C3A90" w:rsidRDefault="007119E3" w:rsidP="0071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64D44">
        <w:rPr>
          <w:rFonts w:ascii="Times New Roman" w:hAnsi="Times New Roman" w:cs="Times New Roman"/>
          <w:sz w:val="28"/>
          <w:szCs w:val="28"/>
          <w:lang w:val="ru-RU"/>
        </w:rPr>
        <w:t>ипломдон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кийинки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даярдык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программасын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аткаруу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стационардык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баскычтагы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уюмдарынын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Категорияларын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медициналык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билим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берүү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мекемелеринин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клиникалык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базалары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жөнүндө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Жобосун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облустар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боюнча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кабыл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алынуусу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мүмкүн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болгон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ординаторлордун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баалоочу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санын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бекитүү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максатында</w:t>
      </w:r>
      <w:proofErr w:type="spellEnd"/>
      <w:r w:rsidRPr="009C3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19E3" w:rsidRPr="00764D44" w:rsidRDefault="007119E3" w:rsidP="0071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119E3" w:rsidRPr="009C3A90" w:rsidRDefault="007119E3" w:rsidP="00711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БУЙРУК КЫЛАМ</w:t>
      </w:r>
      <w:r w:rsidRPr="00764D44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4D44">
        <w:rPr>
          <w:rFonts w:ascii="Times New Roman" w:hAnsi="Times New Roman" w:cs="Times New Roman"/>
          <w:sz w:val="28"/>
          <w:szCs w:val="28"/>
          <w:lang w:val="ky-KG"/>
        </w:rPr>
        <w:t>1. Бекитилсин: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4D44">
        <w:rPr>
          <w:rFonts w:ascii="Times New Roman" w:hAnsi="Times New Roman" w:cs="Times New Roman"/>
          <w:sz w:val="28"/>
          <w:szCs w:val="28"/>
          <w:lang w:val="ky-KG"/>
        </w:rPr>
        <w:t>1.1. Билим берүүчү медициналык мекемелердин клиникалык базасы жонүндө Жобо (1-тиркеме);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4D44">
        <w:rPr>
          <w:rFonts w:ascii="Times New Roman" w:hAnsi="Times New Roman" w:cs="Times New Roman"/>
          <w:sz w:val="28"/>
          <w:szCs w:val="28"/>
          <w:lang w:val="ky-KG"/>
        </w:rPr>
        <w:t>1.2. Ар кыл кесип боюнча дипломдон кийинки даярдоо программасын аткаруу үчүн стационардык баскычтагы саламаттык сактоо уюмдарынын Категорияларын жана облустар боюнча кабыл алынуусу мүмкүн болгон ординаторлордун баалоочу саны (2-тиркеме);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Медициналы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билим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берүүчү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илимий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мекемелердин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жетекчилери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119E3" w:rsidRPr="00764D44" w:rsidRDefault="007119E3" w:rsidP="0071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         2.1.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буйруктун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аткаруу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кабыл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алышсын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уюмдарынан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келүүчү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клиникалык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насаатчы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акы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төлөнүүчү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кызмат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ордун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берүү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мүмкүнчүлүгүн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караштырышсын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Мөөнөтү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дайыма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уюмдарынын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жетекчилери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системасынын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адистерин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дипломго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чейин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proofErr w:type="gram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дипломдон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кийин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даярдоо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боюнча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бекитилген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программага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ылайык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дарылоочу-алдын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алуучу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диагностикалык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процесстердеги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практикалык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таалимдери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менен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көндүмдөрүн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өнүктүрүү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ординаторлорду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даярдоону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камсыз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кылышсын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Мөөнөтү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дайыма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клиникалык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насаатчылар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менен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ординаторлор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акы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төлөнүүчү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кызматтарды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берүү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мүмкүнчүлүктөрүн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Кыргыз</w:t>
      </w:r>
      <w:proofErr w:type="spellEnd"/>
      <w:proofErr w:type="gram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Республикасынын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аракеттеги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мыйзамдарына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ыл</w:t>
      </w:r>
      <w:r w:rsidRPr="00764D44">
        <w:rPr>
          <w:rFonts w:ascii="Times New Roman" w:hAnsi="Times New Roman" w:cs="Times New Roman"/>
          <w:sz w:val="28"/>
          <w:szCs w:val="28"/>
          <w:lang w:val="ru-RU"/>
        </w:rPr>
        <w:t>айык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караштырсын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19E3" w:rsidRPr="00764D44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Мөөнөтү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дайыма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буйруктун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аткарылышын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контролдоо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К.Т.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Шадыхановго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4D44">
        <w:rPr>
          <w:rFonts w:ascii="Times New Roman" w:hAnsi="Times New Roman" w:cs="Times New Roman"/>
          <w:sz w:val="28"/>
          <w:szCs w:val="28"/>
          <w:lang w:val="ru-RU"/>
        </w:rPr>
        <w:t>жүктөлсүн</w:t>
      </w:r>
      <w:proofErr w:type="spellEnd"/>
      <w:r w:rsidRPr="00764D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9E3" w:rsidRPr="009C3A90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9E3" w:rsidRDefault="007119E3" w:rsidP="00711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0F5B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</w:t>
      </w:r>
      <w:r w:rsidRPr="00160F5B">
        <w:rPr>
          <w:b/>
          <w:lang w:val="ru-RU"/>
        </w:rPr>
        <w:t xml:space="preserve"> </w:t>
      </w:r>
      <w:r w:rsidRPr="00160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Положения о клинических базах медицинских образовательных организаций </w:t>
      </w:r>
      <w:proofErr w:type="gramStart"/>
      <w:r w:rsidRPr="00160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 </w:t>
      </w:r>
      <w:r w:rsidRPr="00160F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Категори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proofErr w:type="gramEnd"/>
      <w:r w:rsidRPr="00160F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организаций здравоохранения стационарного уровня для выполнения программы последипломной подготовки </w:t>
      </w:r>
    </w:p>
    <w:p w:rsidR="007119E3" w:rsidRDefault="007119E3" w:rsidP="00711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9E3" w:rsidRPr="00480B39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Pr="00A750DA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утверждения Положения о клинических базах медицинских 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организаций, </w:t>
      </w:r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 здравоохранения</w:t>
      </w:r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стационарного уровня для выполнения программы последипломной подготовки по разным </w:t>
      </w:r>
      <w:proofErr w:type="gramStart"/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специальностям  и</w:t>
      </w:r>
      <w:proofErr w:type="gramEnd"/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оценочное количество ординаторов, которые могут быть приняты, по областям</w:t>
      </w:r>
    </w:p>
    <w:p w:rsidR="007119E3" w:rsidRPr="00A750DA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7119E3" w:rsidRPr="009C3A90" w:rsidRDefault="007119E3" w:rsidP="00711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Утвердить: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Положение о</w:t>
      </w:r>
      <w:r w:rsidRPr="00A853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клинических базах образовательных медицинских организаций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(приложение 1);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A853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Категории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 здравоохранения</w:t>
      </w:r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стационарного уровня для выполнения программы последипломной подготовки по разным </w:t>
      </w:r>
      <w:proofErr w:type="gramStart"/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специальностям  и</w:t>
      </w:r>
      <w:proofErr w:type="gramEnd"/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оценочное количество ординаторов, которые могут быть приняты, по областям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(приложение 2).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Руководителям медицинских образовательных/научных организаций:</w:t>
      </w:r>
    </w:p>
    <w:p w:rsidR="007119E3" w:rsidRPr="00160F5B" w:rsidRDefault="007119E3" w:rsidP="0071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160F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160F5B">
        <w:rPr>
          <w:rFonts w:ascii="Times New Roman" w:hAnsi="Times New Roman" w:cs="Times New Roman"/>
          <w:sz w:val="28"/>
          <w:szCs w:val="28"/>
          <w:lang w:val="ky-KG"/>
        </w:rPr>
        <w:t>принять данный пр</w:t>
      </w:r>
      <w:r>
        <w:rPr>
          <w:rFonts w:ascii="Times New Roman" w:hAnsi="Times New Roman" w:cs="Times New Roman"/>
          <w:sz w:val="28"/>
          <w:szCs w:val="28"/>
          <w:lang w:val="ky-KG"/>
        </w:rPr>
        <w:t>иказ к руководству и исполнению;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рассмотреть возможность предоставления </w:t>
      </w:r>
      <w:r w:rsidRPr="00CA39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оплачиваемых должностей для клинического наставника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организации здравоохранения.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Срок: постоянно.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Руководителям организаций здравоохранения: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обеспечить подготовку ординаторов для </w:t>
      </w:r>
      <w:r w:rsidRPr="0025723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практических навыков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умений</w:t>
      </w:r>
      <w:r w:rsidRPr="002572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</w:t>
      </w:r>
      <w:proofErr w:type="gramEnd"/>
      <w:r w:rsidRPr="002572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лечебно-профилактическом и диагностическом процессе сог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ласно утверждённым программам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додипломной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последипломной подготовки и переподготовки</w:t>
      </w:r>
      <w:r w:rsidRPr="002572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специалистов системы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Срок: постоянно.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рас</w:t>
      </w:r>
      <w:r w:rsidRPr="00242B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мотреть возможность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242B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оплачиваемых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должностей </w:t>
      </w:r>
      <w:r w:rsidRPr="00242B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клинического наставника </w:t>
      </w:r>
      <w:r w:rsidRPr="00242B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ординатора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действующим  законодательством КР.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Срок: постоянно.</w:t>
      </w:r>
    </w:p>
    <w:p w:rsidR="007119E3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Контроль за исполнением настоящего приказа возложить на статс-секретаря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Шадыханова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К.Т.</w:t>
      </w:r>
    </w:p>
    <w:p w:rsidR="007119E3" w:rsidRDefault="007119E3" w:rsidP="007119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19E3" w:rsidRDefault="007119E3" w:rsidP="007119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19E3" w:rsidRPr="00242BB6" w:rsidRDefault="007119E3" w:rsidP="007119E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</w:t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</w:t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К.С.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Чолпонбаев</w:t>
      </w:r>
      <w:proofErr w:type="spellEnd"/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119E3" w:rsidRDefault="007119E3" w:rsidP="00711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9E3" w:rsidRPr="00764D44" w:rsidRDefault="007119E3" w:rsidP="007119E3">
      <w:pPr>
        <w:spacing w:after="0"/>
        <w:ind w:left="6372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Pr="00764D44">
        <w:rPr>
          <w:rFonts w:ascii="Times New Roman" w:hAnsi="Times New Roman" w:cs="Times New Roman"/>
          <w:sz w:val="28"/>
          <w:lang w:val="ru-RU"/>
        </w:rPr>
        <w:t>Приложение</w:t>
      </w:r>
      <w:r>
        <w:rPr>
          <w:rFonts w:ascii="Times New Roman" w:hAnsi="Times New Roman" w:cs="Times New Roman"/>
          <w:sz w:val="28"/>
          <w:lang w:val="ru-RU"/>
        </w:rPr>
        <w:t xml:space="preserve"> 1</w:t>
      </w:r>
    </w:p>
    <w:p w:rsidR="007119E3" w:rsidRPr="00764D44" w:rsidRDefault="007119E3" w:rsidP="007119E3">
      <w:pPr>
        <w:spacing w:after="0"/>
        <w:ind w:left="708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119E3" w:rsidRPr="00764D44" w:rsidRDefault="007119E3" w:rsidP="007119E3">
      <w:pPr>
        <w:tabs>
          <w:tab w:val="left" w:pos="7008"/>
        </w:tabs>
        <w:spacing w:after="0"/>
        <w:ind w:left="4956"/>
        <w:jc w:val="center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ru-RU"/>
        </w:rPr>
        <w:t xml:space="preserve">           к приказу Министерства</w:t>
      </w:r>
    </w:p>
    <w:p w:rsidR="007119E3" w:rsidRPr="00764D44" w:rsidRDefault="007119E3" w:rsidP="007119E3">
      <w:pPr>
        <w:tabs>
          <w:tab w:val="left" w:pos="7008"/>
        </w:tabs>
        <w:spacing w:after="0"/>
        <w:ind w:left="4956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ky-KG"/>
        </w:rPr>
        <w:t xml:space="preserve">                </w:t>
      </w:r>
      <w:r w:rsidRPr="00764D44">
        <w:rPr>
          <w:rFonts w:ascii="Times New Roman" w:hAnsi="Times New Roman" w:cs="Times New Roman"/>
          <w:sz w:val="28"/>
          <w:lang w:val="ru-RU"/>
        </w:rPr>
        <w:t>здравоохранения</w:t>
      </w:r>
    </w:p>
    <w:p w:rsidR="007119E3" w:rsidRPr="00764D44" w:rsidRDefault="007119E3" w:rsidP="007119E3">
      <w:pPr>
        <w:tabs>
          <w:tab w:val="left" w:pos="7008"/>
        </w:tabs>
        <w:spacing w:after="0"/>
        <w:ind w:left="4956"/>
        <w:jc w:val="center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ru-RU"/>
        </w:rPr>
        <w:t xml:space="preserve">          Кыргызской Республики</w:t>
      </w:r>
    </w:p>
    <w:p w:rsidR="007119E3" w:rsidRPr="009C3A90" w:rsidRDefault="007119E3" w:rsidP="007119E3">
      <w:pPr>
        <w:tabs>
          <w:tab w:val="left" w:pos="7008"/>
        </w:tabs>
        <w:spacing w:after="0"/>
        <w:ind w:left="4956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ky-KG"/>
        </w:rPr>
        <w:t xml:space="preserve">               </w:t>
      </w:r>
      <w:r w:rsidRPr="009C3A90">
        <w:rPr>
          <w:rFonts w:ascii="Times New Roman" w:hAnsi="Times New Roman" w:cs="Times New Roman"/>
          <w:sz w:val="28"/>
          <w:lang w:val="ru-RU"/>
        </w:rPr>
        <w:t>от</w:t>
      </w:r>
      <w:r>
        <w:rPr>
          <w:rFonts w:ascii="Times New Roman" w:hAnsi="Times New Roman" w:cs="Times New Roman"/>
          <w:sz w:val="28"/>
          <w:lang w:val="ky-KG"/>
        </w:rPr>
        <w:t xml:space="preserve"> “</w:t>
      </w:r>
      <w:proofErr w:type="gramStart"/>
      <w:r>
        <w:rPr>
          <w:rFonts w:ascii="Times New Roman" w:hAnsi="Times New Roman" w:cs="Times New Roman"/>
          <w:sz w:val="28"/>
          <w:lang w:val="ky-KG"/>
        </w:rPr>
        <w:t>31”_</w:t>
      </w:r>
      <w:proofErr w:type="gramEnd"/>
      <w:r>
        <w:rPr>
          <w:rFonts w:ascii="Times New Roman" w:hAnsi="Times New Roman" w:cs="Times New Roman"/>
          <w:sz w:val="28"/>
          <w:lang w:val="ky-KG"/>
        </w:rPr>
        <w:t>05_</w:t>
      </w:r>
      <w:r w:rsidRPr="009C3A90">
        <w:rPr>
          <w:rFonts w:ascii="Times New Roman" w:hAnsi="Times New Roman" w:cs="Times New Roman"/>
          <w:sz w:val="28"/>
          <w:lang w:val="ru-RU"/>
        </w:rPr>
        <w:t>2018 г. №</w:t>
      </w:r>
      <w:r>
        <w:rPr>
          <w:rFonts w:ascii="Times New Roman" w:hAnsi="Times New Roman" w:cs="Times New Roman"/>
          <w:sz w:val="28"/>
          <w:lang w:val="ky-KG"/>
        </w:rPr>
        <w:t>407</w:t>
      </w:r>
    </w:p>
    <w:p w:rsidR="007119E3" w:rsidRPr="009C3A90" w:rsidRDefault="007119E3" w:rsidP="007119E3">
      <w:pPr>
        <w:tabs>
          <w:tab w:val="left" w:pos="7008"/>
        </w:tabs>
        <w:spacing w:after="0"/>
        <w:ind w:left="4956"/>
        <w:rPr>
          <w:rFonts w:ascii="Times New Roman" w:hAnsi="Times New Roman" w:cs="Times New Roman"/>
          <w:sz w:val="28"/>
          <w:lang w:val="ru-RU"/>
        </w:rPr>
      </w:pPr>
    </w:p>
    <w:p w:rsidR="007119E3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119E3" w:rsidRPr="002C1C7B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Pr="002C1C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клинических базах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медицинских образовательных организаций  </w:t>
      </w:r>
    </w:p>
    <w:p w:rsidR="007119E3" w:rsidRPr="002C1C7B" w:rsidRDefault="007119E3" w:rsidP="00711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19E3" w:rsidRPr="00CE0BFE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0B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7119E3" w:rsidRPr="00CE0BFE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Положение разработано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Приказа Министерства здравоохранения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 №248 от 18.05.2015 «Об утверждении Стратегии развития последипломного и непрерывного медицинского образования в Кыргызской Республике на период 2014-2020 годы»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децентрализации последипломного медицинского образования и улучшения доступа к клинической практике.</w:t>
      </w:r>
    </w:p>
    <w:p w:rsidR="007119E3" w:rsidRPr="002C1C7B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Настоящее Положение устанавливает общие требования к организациям здравоохранения, которые являются клиническими базами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образовательных организаций,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определяет их ответственность в обеспечении развития практических </w:t>
      </w:r>
      <w:proofErr w:type="gramStart"/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навыков  в</w:t>
      </w:r>
      <w:proofErr w:type="gramEnd"/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лечебно-профилактическом и диагностическом процессе согласно утверждённым программам по до-, последипломной подготовке и переподготовке специалистов системы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здравоохранения, научных кадров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Организации здравоохранения, являющиеся клиническими базами,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своей деятельности руководствую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действующим законодательством Кыргызской Рес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публики, настоящим Положением, У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ставом организации здравоохранения и договорами о совместной деятельности, заключенными с организациями медицинского образования согласно Типовому договору о совместной деятельности.</w:t>
      </w:r>
    </w:p>
    <w:p w:rsidR="007119E3" w:rsidRPr="002C1C7B" w:rsidRDefault="007119E3" w:rsidP="0071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</w:pP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линическими базами могут быть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рганизации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независимо от форм собственности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ведомственной принадлежности, которые оказывают разл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ичные виды медицинской помощи,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ют достаточный уровень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материально-технического оснащения и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адровый потенциал, необходимый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овладения современными методам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организационно-методической,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научно-исследовательской, учебной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лечебно-диагностической работой, и обеспечивающие качественную подготовку и переподготовку специалистов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 здравоохранения, научных кадров.</w:t>
      </w:r>
    </w:p>
    <w:p w:rsidR="007119E3" w:rsidRDefault="007119E3" w:rsidP="00711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1.5. Организации здравоохранения, являющиеся клиническими базами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должны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соответствовать утвержденным минимальным общим требованиям</w:t>
      </w:r>
      <w:r w:rsidRPr="00244B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стандартам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аккредитации клинических баз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5BA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до-, последипломной подготовке и переподготовке специалистов системы здравоохранения, научных кадров.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119E3" w:rsidRDefault="007119E3" w:rsidP="00711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9"/>
      <w:r w:rsidRPr="002C1C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Основные задачи и функции клинических баз</w:t>
      </w:r>
    </w:p>
    <w:p w:rsidR="007119E3" w:rsidRPr="00B7769D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ind w:firstLine="403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Основными задачами являются:</w:t>
      </w:r>
    </w:p>
    <w:bookmarkEnd w:id="0"/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proofErr w:type="gramStart"/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непрерывной,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многоуровневой (среднее специальное,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высшее, последипломное, дополнительное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профессиональное образование)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подготовки специалистов согласно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до- и последипломной подготовки и переподготовки специалистов системы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25BA3">
        <w:rPr>
          <w:lang w:val="ru-RU"/>
        </w:rPr>
        <w:t xml:space="preserve"> </w:t>
      </w:r>
      <w:r w:rsidRPr="00125B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научных кадров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</w:t>
      </w:r>
      <w:r>
        <w:rPr>
          <w:rStyle w:val="s0"/>
          <w:rFonts w:eastAsia="Calibri"/>
          <w:sz w:val="28"/>
          <w:szCs w:val="28"/>
          <w:lang w:val="ru-RU"/>
        </w:rPr>
        <w:t xml:space="preserve">Создание условий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для учебного процесса </w:t>
      </w:r>
      <w:r>
        <w:rPr>
          <w:rStyle w:val="s0"/>
          <w:rFonts w:eastAsia="Calibri"/>
          <w:sz w:val="28"/>
          <w:szCs w:val="28"/>
          <w:lang w:val="ru-RU"/>
        </w:rPr>
        <w:t xml:space="preserve">с предоставлением необходимого </w:t>
      </w:r>
      <w:r w:rsidRPr="002C1C7B">
        <w:rPr>
          <w:rStyle w:val="s0"/>
          <w:rFonts w:eastAsia="Calibri"/>
          <w:sz w:val="28"/>
          <w:szCs w:val="28"/>
          <w:lang w:val="ru-RU"/>
        </w:rPr>
        <w:t>количества учебных помещений, возможност</w:t>
      </w:r>
      <w:r>
        <w:rPr>
          <w:rStyle w:val="s0"/>
          <w:rFonts w:eastAsia="Calibri"/>
          <w:sz w:val="28"/>
          <w:szCs w:val="28"/>
          <w:lang w:val="ru-RU"/>
        </w:rPr>
        <w:t xml:space="preserve">ей использования оборудования,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оснащения клинической базы и полноценного участия в лечебно-диагностическом процессе в целях формирования и развития у обучающихся компетенций практической (клинической) работы, ориентированных на высокое качество оказываемых медицинских услуг и индивидуальный подход к каждому пациенту. 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Обеспечение качества клинической подготовки и развитие практических навык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 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лечебно-профилактическом и диагностическом процессе сог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ласно утверждённым программам до-, последипломной подготовки и переподготовки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специалистов системы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25BA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научных кадров</w:t>
      </w: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 Для решения указанных задач клинические базы осуществляют следующие функции: 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организация совместной деятельности клинических баз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>с  образовательными</w:t>
      </w:r>
      <w:proofErr w:type="gramEnd"/>
      <w:r w:rsidRPr="002C1C7B">
        <w:rPr>
          <w:rStyle w:val="s0"/>
          <w:rFonts w:eastAsia="Calibri"/>
          <w:sz w:val="28"/>
          <w:szCs w:val="28"/>
          <w:lang w:val="ru-RU"/>
        </w:rPr>
        <w:t xml:space="preserve"> медицинскими организациями на договорной основе;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организация и проведение учебно-педагогического процесса по подготовке, переподготовке и повышению квалификации специалистов системы здравоохранения с использованием новых форм и методов обучения, достижений медицинской науки и практики; 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установление количества мест до-, последипломного обучения, учитывая число имеющихся пациентов, число врачей, которые могут быть клиническими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>руководителями</w:t>
      </w:r>
      <w:proofErr w:type="gramEnd"/>
      <w:r>
        <w:rPr>
          <w:rStyle w:val="s0"/>
          <w:rFonts w:eastAsia="Calibri"/>
          <w:sz w:val="28"/>
          <w:szCs w:val="28"/>
          <w:lang w:val="ru-RU"/>
        </w:rPr>
        <w:t xml:space="preserve"> а также </w:t>
      </w:r>
      <w:r w:rsidRPr="002C1C7B">
        <w:rPr>
          <w:rStyle w:val="s0"/>
          <w:rFonts w:eastAsia="Calibri"/>
          <w:sz w:val="28"/>
          <w:szCs w:val="28"/>
          <w:lang w:val="ru-RU"/>
        </w:rPr>
        <w:t>с учетом специальных требований программ обучения;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>обеспечение  соответствующего</w:t>
      </w:r>
      <w:proofErr w:type="gramEnd"/>
      <w:r w:rsidRPr="002C1C7B">
        <w:rPr>
          <w:rStyle w:val="s0"/>
          <w:rFonts w:eastAsia="Calibri"/>
          <w:sz w:val="28"/>
          <w:szCs w:val="28"/>
          <w:lang w:val="ru-RU"/>
        </w:rPr>
        <w:t xml:space="preserve"> доступа к пациентам, получению необходимых навыков и манипуляций с использованием современного  медицинского оборудования;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 организация и обеспечение переподготовки и повышения квалификации медицинских работников клинической базы по соответствующим специальностям,</w:t>
      </w:r>
      <w:r>
        <w:rPr>
          <w:rStyle w:val="s0"/>
          <w:rFonts w:eastAsia="Calibri"/>
          <w:sz w:val="28"/>
          <w:szCs w:val="28"/>
          <w:lang w:val="ru-RU"/>
        </w:rPr>
        <w:t xml:space="preserve"> программам до-, последипломной подготовки,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педагогике и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>психологии</w:t>
      </w:r>
      <w:proofErr w:type="gramEnd"/>
      <w:r>
        <w:rPr>
          <w:rStyle w:val="s0"/>
          <w:rFonts w:eastAsia="Calibri"/>
          <w:sz w:val="28"/>
          <w:szCs w:val="28"/>
          <w:lang w:val="ru-RU"/>
        </w:rPr>
        <w:t xml:space="preserve"> и клиническому наставничеству и др.</w:t>
      </w:r>
      <w:r w:rsidRPr="002C1C7B">
        <w:rPr>
          <w:rStyle w:val="s0"/>
          <w:rFonts w:eastAsia="Calibri"/>
          <w:sz w:val="28"/>
          <w:szCs w:val="28"/>
          <w:lang w:val="ru-RU"/>
        </w:rPr>
        <w:t>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C1C7B">
        <w:rPr>
          <w:rStyle w:val="s0"/>
          <w:sz w:val="28"/>
          <w:szCs w:val="28"/>
          <w:lang w:val="ru-RU"/>
        </w:rPr>
        <w:t>- в</w:t>
      </w:r>
      <w:r w:rsidRPr="002C1C7B">
        <w:rPr>
          <w:rStyle w:val="s0"/>
          <w:rFonts w:eastAsia="Calibri"/>
          <w:sz w:val="28"/>
          <w:szCs w:val="28"/>
          <w:lang w:val="ru-RU"/>
        </w:rPr>
        <w:t>ыполнение научно-исследовательских работ совместно с профильными подразделениями организаций медицинского образования;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C1C7B">
        <w:rPr>
          <w:rStyle w:val="s0"/>
          <w:sz w:val="28"/>
          <w:szCs w:val="28"/>
          <w:lang w:val="ru-RU"/>
        </w:rPr>
        <w:t>- п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роведение клинических, научно-практических и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>патолого-анатомических</w:t>
      </w:r>
      <w:proofErr w:type="gramEnd"/>
      <w:r w:rsidRPr="002C1C7B">
        <w:rPr>
          <w:rStyle w:val="s0"/>
          <w:rFonts w:eastAsia="Calibri"/>
          <w:sz w:val="28"/>
          <w:szCs w:val="28"/>
          <w:lang w:val="ru-RU"/>
        </w:rPr>
        <w:t xml:space="preserve"> конференций, семинаров, мастер-классов, консилиумов, клинических разборов и других мероприятий;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sz w:val="28"/>
          <w:szCs w:val="28"/>
          <w:lang w:val="ru-RU"/>
        </w:rPr>
        <w:t>- о</w:t>
      </w:r>
      <w:r w:rsidRPr="002C1C7B">
        <w:rPr>
          <w:rStyle w:val="s0"/>
          <w:rFonts w:eastAsia="Calibri"/>
          <w:sz w:val="28"/>
          <w:szCs w:val="28"/>
          <w:lang w:val="ru-RU"/>
        </w:rPr>
        <w:t>публикование совместных научно-технических трудов и научно-медицинских разработок, пособий;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 обеспечение безопасных условий труда в соответствии с действующим законодательством при выполнении любых видов работ на территории клинической базы и соблюдения правил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внутреннего распорядка и других </w:t>
      </w:r>
      <w:r w:rsidRPr="002C1C7B">
        <w:rPr>
          <w:rStyle w:val="s0"/>
          <w:rFonts w:eastAsia="Calibri"/>
          <w:sz w:val="28"/>
          <w:szCs w:val="28"/>
          <w:lang w:val="ru-RU"/>
        </w:rPr>
        <w:lastRenderedPageBreak/>
        <w:t>нормативно-правовых документов, касающихся порядка осуществления медицинской деятельности клинической базы.</w:t>
      </w:r>
    </w:p>
    <w:p w:rsidR="007119E3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3. Организация работы клинической базы</w:t>
      </w:r>
    </w:p>
    <w:p w:rsidR="007119E3" w:rsidRPr="00E50F84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3.1. </w:t>
      </w:r>
      <w:r>
        <w:rPr>
          <w:rStyle w:val="s0"/>
          <w:rFonts w:eastAsia="Calibri"/>
          <w:sz w:val="28"/>
          <w:szCs w:val="28"/>
          <w:lang w:val="ru-RU"/>
        </w:rPr>
        <w:t xml:space="preserve">Руководство </w:t>
      </w:r>
      <w:r w:rsidRPr="002C1C7B">
        <w:rPr>
          <w:rStyle w:val="s0"/>
          <w:rFonts w:eastAsia="Calibri"/>
          <w:sz w:val="28"/>
          <w:szCs w:val="28"/>
          <w:lang w:val="ru-RU"/>
        </w:rPr>
        <w:t>клин</w:t>
      </w:r>
      <w:r>
        <w:rPr>
          <w:rStyle w:val="s0"/>
          <w:rFonts w:eastAsia="Calibri"/>
          <w:sz w:val="28"/>
          <w:szCs w:val="28"/>
          <w:lang w:val="ru-RU"/>
        </w:rPr>
        <w:t>ической базой осуществляется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руководителем</w:t>
      </w:r>
      <w:r>
        <w:rPr>
          <w:rStyle w:val="s0"/>
          <w:rFonts w:eastAsia="Calibri"/>
          <w:sz w:val="28"/>
          <w:szCs w:val="28"/>
          <w:lang w:val="ru-RU"/>
        </w:rPr>
        <w:t xml:space="preserve">   организации здравоохранения. 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3.2. Руководитель клинической базы наравне с руководителем медицинской образовательной организации несет ответственность </w:t>
      </w:r>
      <w:r>
        <w:rPr>
          <w:rStyle w:val="s0"/>
          <w:rFonts w:eastAsia="Calibri"/>
          <w:sz w:val="28"/>
          <w:szCs w:val="28"/>
          <w:lang w:val="ru-RU"/>
        </w:rPr>
        <w:t xml:space="preserve">за </w:t>
      </w:r>
      <w:r w:rsidRPr="002C1C7B">
        <w:rPr>
          <w:rStyle w:val="s0"/>
          <w:rFonts w:eastAsia="Calibri"/>
          <w:sz w:val="28"/>
          <w:szCs w:val="28"/>
          <w:lang w:val="ru-RU"/>
        </w:rPr>
        <w:t>организацию учебного процесса практического обучения и качество подготовки по соответствующим программам до-,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>последипломной подготовки и переподготовки специалистов системы здравоохранения</w:t>
      </w:r>
      <w:r>
        <w:rPr>
          <w:rStyle w:val="s0"/>
          <w:rFonts w:eastAsia="Calibri"/>
          <w:sz w:val="28"/>
          <w:szCs w:val="28"/>
          <w:lang w:val="ru-RU"/>
        </w:rPr>
        <w:t>, научных кадров</w:t>
      </w:r>
      <w:r w:rsidRPr="002C1C7B">
        <w:rPr>
          <w:rStyle w:val="s0"/>
          <w:rFonts w:eastAsia="Calibri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3.3. Ответственность за качество клиниче</w:t>
      </w:r>
      <w:r>
        <w:rPr>
          <w:rStyle w:val="s0"/>
          <w:rFonts w:eastAsia="Calibri"/>
          <w:sz w:val="28"/>
          <w:szCs w:val="28"/>
          <w:lang w:val="ru-RU"/>
        </w:rPr>
        <w:t>ской подготовки студентов и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ординаторов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по программам до-,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>последипломной  подготовки</w:t>
      </w:r>
      <w:proofErr w:type="gramEnd"/>
      <w:r>
        <w:rPr>
          <w:rStyle w:val="s0"/>
          <w:rFonts w:eastAsia="Calibri"/>
          <w:sz w:val="28"/>
          <w:szCs w:val="28"/>
          <w:lang w:val="ru-RU"/>
        </w:rPr>
        <w:t>, специалистов здравоохранения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</w:t>
      </w:r>
      <w:r>
        <w:rPr>
          <w:rStyle w:val="s0"/>
          <w:rFonts w:eastAsia="Calibri"/>
          <w:sz w:val="28"/>
          <w:szCs w:val="28"/>
          <w:lang w:val="ru-RU"/>
        </w:rPr>
        <w:t>по переподготовке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, их готовность к самостоятельной работе и овладение необходимыми компетенциями </w:t>
      </w:r>
      <w:r w:rsidRPr="007972D1">
        <w:rPr>
          <w:rStyle w:val="s0"/>
          <w:rFonts w:eastAsia="Calibri"/>
          <w:sz w:val="28"/>
          <w:szCs w:val="28"/>
          <w:lang w:val="ru-RU"/>
        </w:rPr>
        <w:t>возлагается на заведующих кафедрами образовательных организаций, заведующих отделениями и клинических наставников клинической базы.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3.</w:t>
      </w:r>
      <w:r>
        <w:rPr>
          <w:rStyle w:val="s0"/>
          <w:rFonts w:eastAsia="Calibri"/>
          <w:sz w:val="28"/>
          <w:szCs w:val="28"/>
          <w:lang w:val="ru-RU"/>
        </w:rPr>
        <w:t>4. Руководители клинической базы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и образовательной организации на регулярной основе должны обеспечить о</w:t>
      </w:r>
      <w:r>
        <w:rPr>
          <w:rStyle w:val="s0"/>
          <w:rFonts w:eastAsia="Calibri"/>
          <w:sz w:val="28"/>
          <w:szCs w:val="28"/>
          <w:lang w:val="ru-RU"/>
        </w:rPr>
        <w:t>рганизацию обучающих мероприятий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для клинических руководителей по повышению квалификации, проведению независимой оценки знаний и практических навыков студентов/ординаторов</w:t>
      </w:r>
      <w:r>
        <w:rPr>
          <w:rStyle w:val="s0"/>
          <w:rFonts w:eastAsia="Calibri"/>
          <w:sz w:val="28"/>
          <w:szCs w:val="28"/>
          <w:lang w:val="ru-RU"/>
        </w:rPr>
        <w:t>, специалистов здравоохранения</w:t>
      </w:r>
      <w:r w:rsidRPr="002C1C7B">
        <w:rPr>
          <w:rStyle w:val="s0"/>
          <w:rFonts w:eastAsia="Calibri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>
        <w:rPr>
          <w:rStyle w:val="s0"/>
          <w:rFonts w:eastAsia="Calibri"/>
          <w:sz w:val="28"/>
          <w:szCs w:val="28"/>
          <w:lang w:val="ru-RU"/>
        </w:rPr>
        <w:t>3.5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. Клиническими </w:t>
      </w:r>
      <w:r>
        <w:rPr>
          <w:rStyle w:val="s0"/>
          <w:rFonts w:eastAsia="Calibri"/>
          <w:sz w:val="28"/>
          <w:szCs w:val="28"/>
          <w:lang w:val="ru-RU"/>
        </w:rPr>
        <w:t>наставниками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могут быть врачи клинической базы,</w:t>
      </w:r>
      <w:r w:rsidRPr="00E434A5"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>имеющие ученую степень</w:t>
      </w:r>
      <w:r>
        <w:rPr>
          <w:rStyle w:val="s0"/>
          <w:rFonts w:eastAsia="Calibri"/>
          <w:sz w:val="28"/>
          <w:szCs w:val="28"/>
          <w:lang w:val="ru-RU"/>
        </w:rPr>
        <w:t xml:space="preserve"> или </w:t>
      </w:r>
      <w:r w:rsidRPr="002C1C7B">
        <w:rPr>
          <w:rStyle w:val="s0"/>
          <w:rFonts w:eastAsia="Calibri"/>
          <w:sz w:val="28"/>
          <w:szCs w:val="28"/>
          <w:lang w:val="ru-RU"/>
        </w:rPr>
        <w:t>первую/высшую</w:t>
      </w:r>
      <w:r w:rsidRPr="00E434A5"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>квалификационную категорию, которые могут работать по совместительству в образовател</w:t>
      </w:r>
      <w:r>
        <w:rPr>
          <w:rStyle w:val="s0"/>
          <w:rFonts w:eastAsia="Calibri"/>
          <w:sz w:val="28"/>
          <w:szCs w:val="28"/>
          <w:lang w:val="ru-RU"/>
        </w:rPr>
        <w:t xml:space="preserve">ьных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организациях или на договорной основе. 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>
        <w:rPr>
          <w:rStyle w:val="s0"/>
          <w:rFonts w:eastAsia="Calibri"/>
          <w:sz w:val="28"/>
          <w:szCs w:val="28"/>
          <w:lang w:val="ru-RU"/>
        </w:rPr>
        <w:t xml:space="preserve">3.6. Специалисты здравоохранения, </w:t>
      </w:r>
      <w:r w:rsidRPr="002C1C7B">
        <w:rPr>
          <w:rStyle w:val="s0"/>
          <w:rFonts w:eastAsia="Calibri"/>
          <w:sz w:val="28"/>
          <w:szCs w:val="28"/>
          <w:lang w:val="ru-RU"/>
        </w:rPr>
        <w:t>которые являютс</w:t>
      </w:r>
      <w:r>
        <w:rPr>
          <w:rStyle w:val="s0"/>
          <w:rFonts w:eastAsia="Calibri"/>
          <w:sz w:val="28"/>
          <w:szCs w:val="28"/>
          <w:lang w:val="ru-RU"/>
        </w:rPr>
        <w:t xml:space="preserve">я клиническими наставниками, </w:t>
      </w:r>
      <w:r w:rsidRPr="002C1C7B">
        <w:rPr>
          <w:rStyle w:val="s0"/>
          <w:rFonts w:eastAsia="Calibri"/>
          <w:sz w:val="28"/>
          <w:szCs w:val="28"/>
          <w:lang w:val="ru-RU"/>
        </w:rPr>
        <w:t>должны рассматриваться руководством клинической базы для финансовых стимулов</w:t>
      </w:r>
      <w:r w:rsidRPr="00E434A5"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в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 xml:space="preserve">рамках 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>различных</w:t>
      </w:r>
      <w:proofErr w:type="gramEnd"/>
      <w:r w:rsidRPr="002C1C7B">
        <w:rPr>
          <w:rStyle w:val="s0"/>
          <w:rFonts w:eastAsia="Calibri"/>
          <w:sz w:val="28"/>
          <w:szCs w:val="28"/>
          <w:lang w:val="ru-RU"/>
        </w:rPr>
        <w:t xml:space="preserve"> программ, основанных на результатах, для поощрения в виде наград, продвижения по службе и/или вознаграждения.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>
        <w:rPr>
          <w:rStyle w:val="s0"/>
          <w:rFonts w:eastAsia="Calibri"/>
          <w:sz w:val="28"/>
          <w:szCs w:val="28"/>
          <w:lang w:val="ru-RU"/>
        </w:rPr>
        <w:t>3.7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. Клинический </w:t>
      </w:r>
      <w:r>
        <w:rPr>
          <w:rStyle w:val="s0"/>
          <w:rFonts w:eastAsia="Calibri"/>
          <w:sz w:val="28"/>
          <w:szCs w:val="28"/>
          <w:lang w:val="ru-RU"/>
        </w:rPr>
        <w:t>наставник</w:t>
      </w:r>
      <w:r w:rsidRPr="002C1C7B">
        <w:rPr>
          <w:rStyle w:val="s0"/>
          <w:rFonts w:eastAsia="Calibri"/>
          <w:sz w:val="28"/>
          <w:szCs w:val="28"/>
          <w:lang w:val="ru-RU"/>
        </w:rPr>
        <w:t>: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-осуществляет методическое руководство и контроль выполнения индивидуального плана подготовки и плана проведения практики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>студента/ординатора на основании плана и программы по специальности;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совместно с </w:t>
      </w:r>
      <w:r>
        <w:rPr>
          <w:rStyle w:val="s0"/>
          <w:rFonts w:eastAsia="Calibri"/>
          <w:sz w:val="28"/>
          <w:szCs w:val="28"/>
          <w:lang w:val="ru-RU"/>
        </w:rPr>
        <w:t xml:space="preserve">клиническим </w:t>
      </w:r>
      <w:r w:rsidRPr="002C1C7B">
        <w:rPr>
          <w:rStyle w:val="s0"/>
          <w:rFonts w:eastAsia="Calibri"/>
          <w:sz w:val="28"/>
          <w:szCs w:val="28"/>
          <w:lang w:val="ru-RU"/>
        </w:rPr>
        <w:t>руководителем из образовательной организации составляет график (план) проведения практики,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>организует и контролирует соблюдение производственной дисциплины, отработку рабочего времени студентами</w:t>
      </w:r>
      <w:r>
        <w:rPr>
          <w:rStyle w:val="s0"/>
          <w:rFonts w:eastAsia="Calibri"/>
          <w:sz w:val="28"/>
          <w:szCs w:val="28"/>
          <w:lang w:val="ru-RU"/>
        </w:rPr>
        <w:t>/ординаторами</w:t>
      </w:r>
      <w:r w:rsidRPr="002C1C7B">
        <w:rPr>
          <w:rStyle w:val="s0"/>
          <w:rFonts w:eastAsia="Calibri"/>
          <w:sz w:val="28"/>
          <w:szCs w:val="28"/>
          <w:lang w:val="ru-RU"/>
        </w:rPr>
        <w:t>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несет ответственность за качество подготовки </w:t>
      </w:r>
      <w:r>
        <w:rPr>
          <w:rStyle w:val="s0"/>
          <w:rFonts w:eastAsia="Calibri"/>
          <w:sz w:val="28"/>
          <w:szCs w:val="28"/>
          <w:lang w:val="ru-RU"/>
        </w:rPr>
        <w:t>студентов/</w:t>
      </w:r>
      <w:r w:rsidRPr="002C1C7B">
        <w:rPr>
          <w:rStyle w:val="s0"/>
          <w:rFonts w:eastAsia="Calibri"/>
          <w:sz w:val="28"/>
          <w:szCs w:val="28"/>
          <w:lang w:val="ru-RU"/>
        </w:rPr>
        <w:t>ординаторов, их готовности к самостоятельной работе, овладение соответствующими навыками и манипуляциями, в том числе с использованием современного оборудования;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lastRenderedPageBreak/>
        <w:t xml:space="preserve">- обучает эффективной работе в команде, с другими специалистами здравоохранения и развивает необходимые компетенции у </w:t>
      </w:r>
      <w:r>
        <w:rPr>
          <w:rStyle w:val="s0"/>
          <w:rFonts w:eastAsia="Calibri"/>
          <w:sz w:val="28"/>
          <w:szCs w:val="28"/>
          <w:lang w:val="ru-RU"/>
        </w:rPr>
        <w:t>студента/</w:t>
      </w:r>
      <w:r w:rsidRPr="002C1C7B">
        <w:rPr>
          <w:rStyle w:val="s0"/>
          <w:rFonts w:eastAsia="Calibri"/>
          <w:sz w:val="28"/>
          <w:szCs w:val="28"/>
          <w:lang w:val="ru-RU"/>
        </w:rPr>
        <w:t>ординатора;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 обеспечивает тесное взаимодейств</w:t>
      </w:r>
      <w:r>
        <w:rPr>
          <w:rStyle w:val="s0"/>
          <w:rFonts w:eastAsia="Calibri"/>
          <w:sz w:val="28"/>
          <w:szCs w:val="28"/>
          <w:lang w:val="ru-RU"/>
        </w:rPr>
        <w:t>ие и наблюдение за работой студента/</w:t>
      </w:r>
      <w:r w:rsidRPr="002C1C7B">
        <w:rPr>
          <w:rStyle w:val="s0"/>
          <w:rFonts w:eastAsia="Calibri"/>
          <w:sz w:val="28"/>
          <w:szCs w:val="28"/>
          <w:lang w:val="ru-RU"/>
        </w:rPr>
        <w:t>ординатора с помощью соблюдения нормативов нагрузки при ведении пациентов;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постоянно ведет учет посещаемости с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>составлением  графика</w:t>
      </w:r>
      <w:proofErr w:type="gramEnd"/>
      <w:r w:rsidRPr="002C1C7B">
        <w:rPr>
          <w:rStyle w:val="s0"/>
          <w:rFonts w:eastAsia="Calibri"/>
          <w:sz w:val="28"/>
          <w:szCs w:val="28"/>
          <w:lang w:val="ru-RU"/>
        </w:rPr>
        <w:t>-табеля посещ</w:t>
      </w:r>
      <w:r>
        <w:rPr>
          <w:rStyle w:val="s0"/>
          <w:rFonts w:eastAsia="Calibri"/>
          <w:sz w:val="28"/>
          <w:szCs w:val="28"/>
          <w:lang w:val="ru-RU"/>
        </w:rPr>
        <w:t>аемости на каждого студента/</w:t>
      </w:r>
      <w:r w:rsidRPr="002C1C7B">
        <w:rPr>
          <w:rStyle w:val="s0"/>
          <w:rFonts w:eastAsia="Calibri"/>
          <w:sz w:val="28"/>
          <w:szCs w:val="28"/>
          <w:lang w:val="ru-RU"/>
        </w:rPr>
        <w:t>ординатора;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 по окончании каждого цикла принимает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>отчет у</w:t>
      </w:r>
      <w:r>
        <w:rPr>
          <w:rStyle w:val="s0"/>
          <w:rFonts w:eastAsia="Calibri"/>
          <w:sz w:val="28"/>
          <w:szCs w:val="28"/>
          <w:lang w:val="ru-RU"/>
        </w:rPr>
        <w:t xml:space="preserve"> студента/</w:t>
      </w:r>
      <w:r w:rsidRPr="002C1C7B">
        <w:rPr>
          <w:rStyle w:val="s0"/>
          <w:rFonts w:eastAsia="Calibri"/>
          <w:sz w:val="28"/>
          <w:szCs w:val="28"/>
          <w:lang w:val="ru-RU"/>
        </w:rPr>
        <w:t>ординатора о выполнении разделов индивидуального плана;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принимает участие в проведении аттестации студентов/ординаторов по </w:t>
      </w:r>
      <w:r>
        <w:rPr>
          <w:rStyle w:val="s0"/>
          <w:rFonts w:eastAsia="Calibri"/>
          <w:sz w:val="28"/>
          <w:szCs w:val="28"/>
          <w:lang w:val="ru-RU"/>
        </w:rPr>
        <w:t xml:space="preserve">результатам практического обучения (производственной практики). 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>
        <w:rPr>
          <w:rStyle w:val="s0"/>
          <w:rFonts w:eastAsia="Calibri"/>
          <w:sz w:val="28"/>
          <w:szCs w:val="28"/>
          <w:lang w:val="ru-RU"/>
        </w:rPr>
        <w:t>3.8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. </w:t>
      </w:r>
      <w:proofErr w:type="gramStart"/>
      <w:r>
        <w:rPr>
          <w:rStyle w:val="s0"/>
          <w:rFonts w:eastAsia="Calibri"/>
          <w:sz w:val="28"/>
          <w:szCs w:val="28"/>
          <w:lang w:val="ru-RU"/>
        </w:rPr>
        <w:t>Дополнительные  условия</w:t>
      </w:r>
      <w:proofErr w:type="gramEnd"/>
      <w:r>
        <w:rPr>
          <w:rStyle w:val="s0"/>
          <w:rFonts w:eastAsia="Calibri"/>
          <w:sz w:val="28"/>
          <w:szCs w:val="28"/>
          <w:lang w:val="ru-RU"/>
        </w:rPr>
        <w:t xml:space="preserve"> для организации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работы клинической базы по подготовке ординаторов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>на последипломной уровне: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 подготовка ординаторов на клинической базе проводится в соответствии с требованиями программ последипломной подготовки и должна вовлекать их во все виды лечебно-профилактической, диагностической деятельности, включая дежурства согласно стандартному графику рабочего времени клинической базы;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 последипломная подготовка ординатора</w:t>
      </w:r>
      <w:r>
        <w:rPr>
          <w:rStyle w:val="s0"/>
          <w:rFonts w:eastAsia="Calibri"/>
          <w:sz w:val="28"/>
          <w:szCs w:val="28"/>
          <w:lang w:val="ru-RU"/>
        </w:rPr>
        <w:t xml:space="preserve"> проводится с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предоставлением соответствующим образом оплачиваемых должностей, как для клинического </w:t>
      </w:r>
      <w:r>
        <w:rPr>
          <w:rStyle w:val="s0"/>
          <w:rFonts w:eastAsia="Calibri"/>
          <w:sz w:val="28"/>
          <w:szCs w:val="28"/>
          <w:lang w:val="ru-RU"/>
        </w:rPr>
        <w:t>наставника</w:t>
      </w:r>
      <w:r w:rsidRPr="002C1C7B">
        <w:rPr>
          <w:rStyle w:val="s0"/>
          <w:rFonts w:eastAsia="Calibri"/>
          <w:sz w:val="28"/>
          <w:szCs w:val="28"/>
          <w:lang w:val="ru-RU"/>
        </w:rPr>
        <w:t>, так и ординатора;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подготовка ординатора </w:t>
      </w:r>
      <w:r>
        <w:rPr>
          <w:rStyle w:val="s0"/>
          <w:rFonts w:eastAsia="Calibri"/>
          <w:sz w:val="28"/>
          <w:szCs w:val="28"/>
          <w:lang w:val="ru-RU"/>
        </w:rPr>
        <w:t xml:space="preserve">проводится с учетом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возможности </w:t>
      </w:r>
      <w:proofErr w:type="gramStart"/>
      <w:r w:rsidRPr="002C1C7B">
        <w:rPr>
          <w:rStyle w:val="s0"/>
          <w:rFonts w:eastAsia="Calibri"/>
          <w:sz w:val="28"/>
          <w:szCs w:val="28"/>
          <w:lang w:val="ru-RU"/>
        </w:rPr>
        <w:t>для  индивидуальной</w:t>
      </w:r>
      <w:proofErr w:type="gramEnd"/>
      <w:r w:rsidRPr="002C1C7B">
        <w:rPr>
          <w:rStyle w:val="s0"/>
          <w:rFonts w:eastAsia="Calibri"/>
          <w:sz w:val="28"/>
          <w:szCs w:val="28"/>
          <w:lang w:val="ru-RU"/>
        </w:rPr>
        <w:t xml:space="preserve"> подготовки, в том числе в других учреждениях по различным циклам путем активной координации между другими организациями, являющихся клиническими базами;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 методическое руководство подготовкой и контроль выполнения индивидуального плана подготовки кли</w:t>
      </w:r>
      <w:r>
        <w:rPr>
          <w:rStyle w:val="s0"/>
          <w:rFonts w:eastAsia="Calibri"/>
          <w:sz w:val="28"/>
          <w:szCs w:val="28"/>
          <w:lang w:val="ru-RU"/>
        </w:rPr>
        <w:t>нического ординатора осуществляе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тся клиническим </w:t>
      </w:r>
      <w:r>
        <w:rPr>
          <w:rStyle w:val="s0"/>
          <w:rFonts w:eastAsia="Calibri"/>
          <w:sz w:val="28"/>
          <w:szCs w:val="28"/>
          <w:lang w:val="ru-RU"/>
        </w:rPr>
        <w:t>наставником</w:t>
      </w:r>
      <w:r w:rsidRPr="002C1C7B">
        <w:rPr>
          <w:rStyle w:val="s0"/>
          <w:rFonts w:eastAsia="Calibri"/>
          <w:sz w:val="28"/>
          <w:szCs w:val="28"/>
          <w:lang w:val="ru-RU"/>
        </w:rPr>
        <w:t>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клинический </w:t>
      </w:r>
      <w:r>
        <w:rPr>
          <w:rStyle w:val="s0"/>
          <w:rFonts w:eastAsia="Calibri"/>
          <w:sz w:val="28"/>
          <w:szCs w:val="28"/>
          <w:lang w:val="ru-RU"/>
        </w:rPr>
        <w:t>наставник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ординатора назначается Приказом руководителя организации здравоохранения, являющейся клинической базой;</w:t>
      </w:r>
    </w:p>
    <w:p w:rsidR="007119E3" w:rsidRPr="002C1C7B" w:rsidRDefault="007119E3" w:rsidP="007119E3">
      <w:pPr>
        <w:spacing w:after="0" w:line="240" w:lineRule="auto"/>
        <w:ind w:firstLine="403"/>
        <w:jc w:val="both"/>
        <w:rPr>
          <w:rStyle w:val="s0"/>
          <w:rFonts w:eastAsia="Calibri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 xml:space="preserve">- за одним клиническим </w:t>
      </w:r>
      <w:r>
        <w:rPr>
          <w:rStyle w:val="s0"/>
          <w:rFonts w:eastAsia="Calibri"/>
          <w:sz w:val="28"/>
          <w:szCs w:val="28"/>
          <w:lang w:val="ru-RU"/>
        </w:rPr>
        <w:t>наставником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может быть закреплено не более четырех клинических ординаторов;</w:t>
      </w:r>
    </w:p>
    <w:p w:rsidR="007119E3" w:rsidRPr="000D5832" w:rsidRDefault="007119E3" w:rsidP="007119E3">
      <w:pPr>
        <w:spacing w:after="0" w:line="240" w:lineRule="auto"/>
        <w:ind w:firstLine="40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C1C7B">
        <w:rPr>
          <w:rStyle w:val="s0"/>
          <w:rFonts w:eastAsia="Calibri"/>
          <w:sz w:val="28"/>
          <w:szCs w:val="28"/>
          <w:lang w:val="ru-RU"/>
        </w:rPr>
        <w:t>- завершение выполнения требований</w:t>
      </w:r>
      <w:r>
        <w:rPr>
          <w:rStyle w:val="s0"/>
          <w:rFonts w:eastAsia="Calibri"/>
          <w:sz w:val="28"/>
          <w:szCs w:val="28"/>
          <w:lang w:val="ru-RU"/>
        </w:rPr>
        <w:t xml:space="preserve"> 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программы по соответствующей специальности подготовки в ординатуре и индивидуального плана </w:t>
      </w:r>
      <w:r>
        <w:rPr>
          <w:rStyle w:val="s0"/>
          <w:rFonts w:eastAsia="Calibri"/>
          <w:sz w:val="28"/>
          <w:szCs w:val="28"/>
          <w:lang w:val="ru-RU"/>
        </w:rPr>
        <w:t>на клинической базе подтверждается</w:t>
      </w:r>
      <w:r w:rsidRPr="002C1C7B">
        <w:rPr>
          <w:rStyle w:val="s0"/>
          <w:rFonts w:eastAsia="Calibri"/>
          <w:sz w:val="28"/>
          <w:szCs w:val="28"/>
          <w:lang w:val="ru-RU"/>
        </w:rPr>
        <w:t xml:space="preserve"> официальным документом, подписанным руководителем клинической базы и клини</w:t>
      </w:r>
      <w:r>
        <w:rPr>
          <w:rStyle w:val="s0"/>
          <w:rFonts w:eastAsia="Calibri"/>
          <w:sz w:val="28"/>
          <w:szCs w:val="28"/>
          <w:lang w:val="ru-RU"/>
        </w:rPr>
        <w:t>ческим наставником ординатора.</w:t>
      </w:r>
    </w:p>
    <w:p w:rsidR="007119E3" w:rsidRPr="002C1C7B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4. Общие требования, предъявляемые к клиническим базам</w:t>
      </w:r>
    </w:p>
    <w:p w:rsidR="007119E3" w:rsidRPr="002C1C7B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4.1. Клиническими базами могут быть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рганизации здравоохранения,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которые прошли аккредитацию соответствующим органом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признанию компетентности организаций здравоохранения осуществлять профессиональную деятельность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 Положения "О системе аккредитации организаций здравоохранения в Кыргызской Республике"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имеют лицензию Министерства здравоохранения КР на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осуществление медицинской практики согласно действующего Положения об особенностях лицензирования деятельности, связанной с осуществлением  частной медицинской практики.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4.2. Клин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ические базы должны также быть аккредитованы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соответствующими органами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гласно стандартам аккредитации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по направлениям специальности для реализации программ до-, последипломной подготовки и переподготовки специалистов системы здравоохранения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научных кадров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. Клинические базы должны предоставлять равный доступ всем образовательным медицинским организациям независимо от формы собственности, видов подготовки обучения (контрактная или бюджетная) в соответствии с возможностями клинической/практической подготовки.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.4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. Количество студентов и ординаторов</w:t>
      </w:r>
      <w:r>
        <w:rPr>
          <w:rFonts w:ascii="Times New Roman" w:hAnsi="Times New Roman" w:cs="Times New Roman"/>
          <w:sz w:val="28"/>
          <w:szCs w:val="28"/>
          <w:lang w:val="ru-RU"/>
        </w:rPr>
        <w:t>, специалистов здравоохранения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должно соответствовать возможностям клинической/практической подготовки, максимально допустимой нагрузке на клинических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наставников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и другим ресурсам, имеющимся для обеспечения качества подготовки и обучения в соответствии со стандарта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аккредитации по реализации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программ до-, последипломной подготовки и переподготовки специалистов системы здравоохранения.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.5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. Клиническими базами могут быть только те организации здравоохранения, где гарантирован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остоянный доступ к пациентам и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имеется достаточное количество пациентов с соответствующим профилем нозологических форм для обеспечения необходимой нагрузки на ординатора.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.6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. 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ответствующими документами для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обеспечения выполнения программы до-, последипломной подготовки по специальностям</w:t>
      </w:r>
      <w:r>
        <w:rPr>
          <w:rFonts w:ascii="Times New Roman" w:hAnsi="Times New Roman" w:cs="Times New Roman"/>
          <w:sz w:val="28"/>
          <w:szCs w:val="28"/>
          <w:lang w:val="ru-RU"/>
        </w:rPr>
        <w:t>, переподготовки специалистов здравоохранения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.7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Клиническая база должна иметь соответствующую материальную базу и оборудование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подготовки в зависимости от специальности, которая регулярно оценивается на их соответствие и качество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.8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база должна иметь возможности для практической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, и предоставлять доступ к адекватной профессиональной литературе, а также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соответствующему медицинскому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оборудованию для отработки практических навыков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 с требованиями программ обучения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.9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база должна использовать эффективные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и коммуникационные технологии в программе подготовки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студентов, ординаторов, специалистов здравоохранения, научных кадров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дистанционного обучения, принятия научно-обоснованного решения в различных клинических ситуациях. </w:t>
      </w:r>
    </w:p>
    <w:p w:rsidR="007119E3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.10. Клиническая база должна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образовательной организацией регулярно проводить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внутренний и внешний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 и оценку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качества подготовки студентов/ординаторов, специалистов здравоохранения. </w:t>
      </w:r>
    </w:p>
    <w:p w:rsidR="007119E3" w:rsidRDefault="007119E3" w:rsidP="007119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7A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. Критерии кл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ассификации клинических баз 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5.1. Клинические базы подразделяются по уровням организации медицинской помощи на республиканские, областные, городские и районные организации здравоохранения.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>5.2. Клинические базы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могут быть подразделены на категории в зависимости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 до-, последипломного обучения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в части производственной практики,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результатам оценки приобретенных профессиональных компетенций и удовлетворенности студентов/ординаторов полученными компетенциями.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 Категория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клинической базы зависит от количества пролеченных случаев, обращаемости пациентов, наличия различных профилей,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инфраструктуры,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оснащенности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медицинским оборудованием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 и квалифицированного состава медицинских специалистов, которые могут быть клиническими руководителями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19E3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 Категория клинической базы устанавливается стандартами аккредитации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по направлениям специальностей в зависимости от программ до-, последипломной подготовки и переподготовки специалистов системы здравоохранения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каталога компетенций специалистов по разным направлениям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9E3" w:rsidRPr="002C1C7B" w:rsidRDefault="007119E3" w:rsidP="007119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Минимальные стандарты и к</w:t>
      </w: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атегории клинических баз по специальности «Врач общей практики»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9E3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Pr="0071214C">
        <w:rPr>
          <w:rFonts w:ascii="Times New Roman" w:hAnsi="Times New Roman" w:cs="Times New Roman"/>
          <w:sz w:val="28"/>
          <w:szCs w:val="28"/>
          <w:lang w:val="ru-RU"/>
        </w:rPr>
        <w:t>Клинические базы для проведения последипломного обучения по специальности «Врач общей практики», должны соответствовать минимальным стандартам и индикаторам оценки клинических баз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121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19E3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6.2. Количество </w:t>
      </w:r>
      <w:r w:rsidRPr="004E4FB1">
        <w:rPr>
          <w:rFonts w:ascii="Times New Roman" w:hAnsi="Times New Roman" w:cs="Times New Roman"/>
          <w:sz w:val="28"/>
          <w:szCs w:val="28"/>
          <w:lang w:val="ru-RU"/>
        </w:rPr>
        <w:t>ординаторов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клинической базе</w:t>
      </w:r>
      <w:r w:rsidRPr="004E4FB1">
        <w:rPr>
          <w:rFonts w:ascii="Times New Roman" w:hAnsi="Times New Roman" w:cs="Times New Roman"/>
          <w:sz w:val="28"/>
          <w:szCs w:val="28"/>
          <w:lang w:val="ru-RU"/>
        </w:rPr>
        <w:t xml:space="preserve"> должно соответст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вовать возможностям </w:t>
      </w:r>
      <w:r w:rsidRPr="004E4FB1">
        <w:rPr>
          <w:rFonts w:ascii="Times New Roman" w:hAnsi="Times New Roman" w:cs="Times New Roman"/>
          <w:sz w:val="28"/>
          <w:szCs w:val="28"/>
          <w:lang w:val="ru-RU"/>
        </w:rPr>
        <w:t>практической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обеспечением </w:t>
      </w:r>
      <w:r w:rsidRPr="004E4FB1">
        <w:rPr>
          <w:rFonts w:ascii="Times New Roman" w:hAnsi="Times New Roman" w:cs="Times New Roman"/>
          <w:sz w:val="28"/>
          <w:szCs w:val="28"/>
          <w:lang w:val="ru-RU"/>
        </w:rPr>
        <w:t>минимальной нагрузки на одного клинического ординатора, максимально допустимой нагрузке на кли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нических руководителей </w:t>
      </w:r>
      <w:r w:rsidRPr="004E4FB1">
        <w:rPr>
          <w:rFonts w:ascii="Times New Roman" w:hAnsi="Times New Roman" w:cs="Times New Roman"/>
          <w:sz w:val="28"/>
          <w:szCs w:val="28"/>
          <w:lang w:val="ru-RU"/>
        </w:rPr>
        <w:t xml:space="preserve">и другим ресурсам, имеющимся для обеспечения качества подготовки и </w:t>
      </w:r>
      <w:proofErr w:type="gramStart"/>
      <w:r w:rsidRPr="004E4FB1">
        <w:rPr>
          <w:rFonts w:ascii="Times New Roman" w:hAnsi="Times New Roman" w:cs="Times New Roman"/>
          <w:sz w:val="28"/>
          <w:szCs w:val="28"/>
          <w:lang w:val="ru-RU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proofErr w:type="gramEnd"/>
      <w:r w:rsidRPr="004E4FB1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E4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FB1">
        <w:rPr>
          <w:rFonts w:ascii="Times New Roman" w:hAnsi="Times New Roman" w:cs="Times New Roman"/>
          <w:sz w:val="28"/>
          <w:szCs w:val="28"/>
          <w:lang w:val="ru-RU"/>
        </w:rPr>
        <w:t xml:space="preserve"> последипломной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</w:t>
      </w:r>
      <w:r w:rsidRPr="004E4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«Врач общей практики»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клинических баз по специальности «Врач общей практики» определены в соответствии с общеобразовательной программой подготовки по данной специальности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стационарном </w:t>
      </w:r>
      <w:r w:rsidRPr="002C1C7B">
        <w:rPr>
          <w:rFonts w:ascii="Times New Roman" w:hAnsi="Times New Roman" w:cs="Times New Roman"/>
          <w:sz w:val="28"/>
          <w:szCs w:val="28"/>
          <w:lang w:val="ru-RU"/>
        </w:rPr>
        <w:t>(1 год обучения) и первичном уровнях здравоохранения (в кабинете ВОП/СМ/специалиста ЦСМ/ЦОВП/ГСВ или амбулаторно-диагностического отделения областной/городской/территориальной больницы (2 год обучения).</w:t>
      </w:r>
    </w:p>
    <w:p w:rsidR="007119E3" w:rsidRPr="00D35555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19E3" w:rsidRPr="002C1C7B" w:rsidRDefault="007119E3" w:rsidP="00711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9E3" w:rsidRPr="002C1C7B" w:rsidRDefault="007119E3" w:rsidP="007119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7119E3" w:rsidRDefault="007119E3" w:rsidP="00711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7119E3" w:rsidSect="00A75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9E3" w:rsidRPr="00764D44" w:rsidRDefault="007119E3" w:rsidP="007119E3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                                                                                                   </w:t>
      </w:r>
      <w:bookmarkStart w:id="1" w:name="_Toc478742984"/>
      <w:r w:rsidRPr="00764D44">
        <w:rPr>
          <w:rFonts w:ascii="Times New Roman" w:hAnsi="Times New Roman" w:cs="Times New Roman"/>
          <w:sz w:val="28"/>
          <w:lang w:val="ru-RU"/>
        </w:rPr>
        <w:t>Приложение</w:t>
      </w:r>
      <w:r>
        <w:rPr>
          <w:rFonts w:ascii="Times New Roman" w:hAnsi="Times New Roman" w:cs="Times New Roman"/>
          <w:sz w:val="28"/>
          <w:lang w:val="ru-RU"/>
        </w:rPr>
        <w:t xml:space="preserve"> 2</w:t>
      </w:r>
    </w:p>
    <w:p w:rsidR="007119E3" w:rsidRPr="00764D44" w:rsidRDefault="007119E3" w:rsidP="007119E3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119E3" w:rsidRPr="00764D44" w:rsidRDefault="007119E3" w:rsidP="007119E3">
      <w:pPr>
        <w:tabs>
          <w:tab w:val="left" w:pos="7008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ru-RU"/>
        </w:rPr>
        <w:t xml:space="preserve">           к приказу Министерства</w:t>
      </w:r>
    </w:p>
    <w:p w:rsidR="007119E3" w:rsidRPr="00764D44" w:rsidRDefault="007119E3" w:rsidP="007119E3">
      <w:pPr>
        <w:tabs>
          <w:tab w:val="left" w:pos="7008"/>
        </w:tabs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ky-KG"/>
        </w:rPr>
        <w:t xml:space="preserve">                </w:t>
      </w:r>
      <w:r w:rsidRPr="00764D44">
        <w:rPr>
          <w:rFonts w:ascii="Times New Roman" w:hAnsi="Times New Roman" w:cs="Times New Roman"/>
          <w:sz w:val="28"/>
          <w:lang w:val="ru-RU"/>
        </w:rPr>
        <w:t>здравоохранения</w:t>
      </w:r>
    </w:p>
    <w:p w:rsidR="007119E3" w:rsidRPr="00764D44" w:rsidRDefault="007119E3" w:rsidP="007119E3">
      <w:pPr>
        <w:tabs>
          <w:tab w:val="left" w:pos="7008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ru-RU"/>
        </w:rPr>
        <w:t xml:space="preserve">          Кыргызской Республики</w:t>
      </w:r>
    </w:p>
    <w:p w:rsidR="007119E3" w:rsidRPr="00EF1542" w:rsidRDefault="007119E3" w:rsidP="007119E3">
      <w:pPr>
        <w:tabs>
          <w:tab w:val="left" w:pos="7008"/>
        </w:tabs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ky-KG"/>
        </w:rPr>
        <w:t xml:space="preserve">               </w:t>
      </w:r>
      <w:r w:rsidRPr="00EF1542">
        <w:rPr>
          <w:rFonts w:ascii="Times New Roman" w:hAnsi="Times New Roman" w:cs="Times New Roman"/>
          <w:sz w:val="28"/>
          <w:lang w:val="ru-RU"/>
        </w:rPr>
        <w:t>от</w:t>
      </w:r>
      <w:r>
        <w:rPr>
          <w:rFonts w:ascii="Times New Roman" w:hAnsi="Times New Roman" w:cs="Times New Roman"/>
          <w:sz w:val="28"/>
          <w:lang w:val="ky-KG"/>
        </w:rPr>
        <w:t xml:space="preserve"> “</w:t>
      </w:r>
      <w:proofErr w:type="gramStart"/>
      <w:r>
        <w:rPr>
          <w:rFonts w:ascii="Times New Roman" w:hAnsi="Times New Roman" w:cs="Times New Roman"/>
          <w:sz w:val="28"/>
          <w:lang w:val="ky-KG"/>
        </w:rPr>
        <w:t>31”_</w:t>
      </w:r>
      <w:proofErr w:type="gramEnd"/>
      <w:r>
        <w:rPr>
          <w:rFonts w:ascii="Times New Roman" w:hAnsi="Times New Roman" w:cs="Times New Roman"/>
          <w:sz w:val="28"/>
          <w:lang w:val="ky-KG"/>
        </w:rPr>
        <w:t>05_</w:t>
      </w:r>
      <w:r w:rsidRPr="00EF1542">
        <w:rPr>
          <w:rFonts w:ascii="Times New Roman" w:hAnsi="Times New Roman" w:cs="Times New Roman"/>
          <w:sz w:val="28"/>
          <w:lang w:val="ru-RU"/>
        </w:rPr>
        <w:t>2018 г. №</w:t>
      </w:r>
      <w:r>
        <w:rPr>
          <w:rFonts w:ascii="Times New Roman" w:hAnsi="Times New Roman" w:cs="Times New Roman"/>
          <w:sz w:val="28"/>
          <w:lang w:val="ky-KG"/>
        </w:rPr>
        <w:t>407</w:t>
      </w:r>
    </w:p>
    <w:p w:rsidR="007119E3" w:rsidRDefault="007119E3" w:rsidP="007119E3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 w:cs="Times New Roman"/>
          <w:sz w:val="28"/>
          <w:lang w:val="ru-RU"/>
        </w:rPr>
      </w:pPr>
      <w:bookmarkStart w:id="2" w:name="_GoBack"/>
      <w:bookmarkEnd w:id="2"/>
    </w:p>
    <w:p w:rsidR="007119E3" w:rsidRPr="00F05AFC" w:rsidRDefault="007119E3" w:rsidP="007119E3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F05AF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bookmarkEnd w:id="1"/>
    <w:p w:rsidR="007119E3" w:rsidRPr="003D3B52" w:rsidRDefault="007119E3" w:rsidP="007119E3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Категории организаций здравоохранения стационарного уровня</w:t>
      </w: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для выполнения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последипломной </w:t>
      </w: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подготовки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разным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специальностям</w:t>
      </w: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proofErr w:type="gramEnd"/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оценочное количество ординаторов, которые могут быть приняты, по областям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119E3" w:rsidRPr="00BE4122" w:rsidRDefault="007119E3" w:rsidP="007119E3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032"/>
        <w:gridCol w:w="2479"/>
      </w:tblGrid>
      <w:tr w:rsidR="007119E3" w:rsidRPr="00FB6E4B" w:rsidTr="003E24A6">
        <w:trPr>
          <w:trHeight w:val="1679"/>
          <w:jc w:val="center"/>
        </w:trPr>
        <w:tc>
          <w:tcPr>
            <w:tcW w:w="3284" w:type="dxa"/>
            <w:shd w:val="clear" w:color="auto" w:fill="FFFFFF" w:themeFill="background1"/>
            <w:noWrap/>
            <w:vAlign w:val="center"/>
            <w:hideMark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ОБЛАСТЬ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3ED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  <w:r w:rsidRPr="0096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</w:t>
            </w:r>
          </w:p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К-во ординаторов, которых могут принять </w:t>
            </w:r>
          </w:p>
        </w:tc>
      </w:tr>
      <w:tr w:rsidR="007119E3" w:rsidRPr="00EF1542" w:rsidTr="003E24A6">
        <w:trPr>
          <w:trHeight w:val="823"/>
          <w:jc w:val="center"/>
        </w:trPr>
        <w:tc>
          <w:tcPr>
            <w:tcW w:w="7795" w:type="dxa"/>
            <w:gridSpan w:val="3"/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БАТКЕНСКАЯ ОБЛАСТЬ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ООБ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г.Кызыл-Кия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Кадамжайского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Уч-Коргон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Айдаркен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Лейлекского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Кулунда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Сулюкта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ТБ/ЦОВП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Самаркандек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ТБ/ЦОВП Жаны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7795" w:type="dxa"/>
            <w:gridSpan w:val="3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</w:rPr>
              <w:t>ЖАЛАЛ-АБАДСКАЯ ОБЛАСТЬ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ЖАООБ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ТБ/ЦОВП г. Кара-Куль 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ТБ/ЦОВП г.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Майлуу-Суу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ГТБ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Таш-Кумырская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Аксыйская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Ала-Букинская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Базар-Коргонская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Ноокенская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Кочкор-Ата</w:t>
            </w:r>
            <w:proofErr w:type="spellEnd"/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Сузакская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Кок-Жангак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ТБ/ЦОВП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Тогуз-Тороузского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Токтогульская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7795" w:type="dxa"/>
            <w:gridSpan w:val="3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СЫК-КУЛЬСКАЯ ОБЛАСТЬ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ЫООБ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ГТБ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Балыкчинская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Ак-Суйская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Жеты-Огуз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Иссык-Кульская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Ананьево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Тонская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Тюпская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ТБ/ЦОВП Ананьево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963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963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3E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7795" w:type="dxa"/>
            <w:gridSpan w:val="3"/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</w:rPr>
              <w:t>НАРЫНСКАЯ ОБЛАСТЬ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Ак-Талинская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Ат-Башынская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Жумгальская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Кочкорская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7795" w:type="dxa"/>
            <w:gridSpan w:val="3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</w:rPr>
              <w:t>ОШСКАЯ ОБЛАСТЬ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МОКБ </w:t>
            </w: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МОДКБ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ГКБ г.Ош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Алайская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Араванская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Каракулжин</w:t>
            </w: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ская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Кара-Сууская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Нариманская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Ноокатская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Узгенская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Чон-Алай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Мырза-Аки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ТБ/ЦОВП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Куршаб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ТБ/ЦОВП Папан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219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7795" w:type="dxa"/>
            <w:gridSpan w:val="3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</w:rPr>
              <w:t>ТАЛАССКАЯ ОБЛАСТЬ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ТООБ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Бакай-Ата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Кара-Бууринская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Таласская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63ED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963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7795" w:type="dxa"/>
            <w:gridSpan w:val="3"/>
            <w:shd w:val="clear" w:color="auto" w:fill="FFFFFF" w:themeFill="background1"/>
            <w:noWrap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ЧУЙСКАЯ ОБЛАСТЬ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ООБ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ГТБ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Токмок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Жайылская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с.Суусамыр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Кеминская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п.Орловка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 с.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Панфиловка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Сокулукская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ТБ/</w:t>
            </w: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ЦОВП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Джаны-Джер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Чуйская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proofErr w:type="spellStart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>Ысык-Атинская</w:t>
            </w:r>
            <w:proofErr w:type="spellEnd"/>
            <w:r w:rsidRPr="0096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119E3" w:rsidRPr="00963ED9" w:rsidTr="003E24A6">
        <w:trPr>
          <w:trHeight w:val="300"/>
          <w:jc w:val="center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9E3" w:rsidRPr="00963ED9" w:rsidRDefault="007119E3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3E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</w:tr>
    </w:tbl>
    <w:p w:rsidR="007119E3" w:rsidRDefault="007119E3" w:rsidP="007119E3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7119E3" w:rsidRDefault="007119E3" w:rsidP="007119E3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7119E3" w:rsidRDefault="007119E3" w:rsidP="007119E3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E563A8" w:rsidRDefault="00E563A8"/>
    <w:sectPr w:rsidR="00E563A8" w:rsidSect="00931B4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E3"/>
    <w:rsid w:val="007119E3"/>
    <w:rsid w:val="00931B45"/>
    <w:rsid w:val="00E563A8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A4A41-A387-47AB-8E4F-A907AD5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119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Kerimbaeva</dc:creator>
  <cp:keywords/>
  <dc:description/>
  <cp:lastModifiedBy>Пользователь Windows</cp:lastModifiedBy>
  <cp:revision>2</cp:revision>
  <dcterms:created xsi:type="dcterms:W3CDTF">2018-07-09T12:16:00Z</dcterms:created>
  <dcterms:modified xsi:type="dcterms:W3CDTF">2018-07-09T12:16:00Z</dcterms:modified>
</cp:coreProperties>
</file>